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41D412" w14:textId="77777777" w:rsidR="00721F1A" w:rsidRDefault="00000000">
      <w:pPr>
        <w:pStyle w:val="Heading1"/>
      </w:pPr>
      <w:bookmarkStart w:id="0" w:name="X1ecb600ba9d2bdf3f964e36d06c3f74be69be54"/>
      <w:r>
        <w:t>The Supply Chain Corner Office: Why Hiring Operations Leaders Got Harder — and How to Do It Right</w:t>
      </w:r>
      <w:bookmarkEnd w:id="0"/>
    </w:p>
    <w:p w14:paraId="77716BE3" w14:textId="77777777" w:rsidR="00721F1A" w:rsidRDefault="00000000">
      <w:pPr>
        <w:pStyle w:val="FirstParagraph"/>
      </w:pPr>
      <w:r>
        <w:rPr>
          <w:i/>
        </w:rPr>
        <w:t>By the team at TriSearch</w:t>
      </w:r>
    </w:p>
    <w:p w14:paraId="5544C9E4" w14:textId="77777777" w:rsidR="00721F1A" w:rsidRDefault="00000000">
      <w:pPr>
        <w:pStyle w:val="BodyText"/>
      </w:pPr>
      <w:r>
        <w:t>A decade ago, supply chain was a cost center run from the basement. Then a pandemic, a canal blockage, a tariff whipsaw, and a wave of nearshoring turned it into the most board-visible function in the company. Chief Supply Chain Officers now present to directors quarterly. Operations leaders are being recruited into CEO seats. And the talent market has not caught up.</w:t>
      </w:r>
    </w:p>
    <w:p w14:paraId="4B02155B" w14:textId="77777777" w:rsidR="00721F1A" w:rsidRDefault="00000000">
      <w:pPr>
        <w:pStyle w:val="BodyText"/>
      </w:pPr>
      <w:r>
        <w:t>The result is a genuine scarcity problem: demand for supply chain executives has expanded faster than the pipeline that produces them. Hiring well in this market requires a different approach than the one that worked when logistics leadership was a back-office promotion. Here’s what we’ve learned.</w:t>
      </w:r>
    </w:p>
    <w:p w14:paraId="29FA229F" w14:textId="77777777" w:rsidR="00721F1A" w:rsidRDefault="00000000">
      <w:pPr>
        <w:pStyle w:val="Heading2"/>
      </w:pPr>
      <w:bookmarkStart w:id="1" w:name="Xd9d4d1a52e2da89a31d924f534a20bf223d62e6"/>
      <w:r>
        <w:t>The job changed faster than the résumés did</w:t>
      </w:r>
      <w:bookmarkEnd w:id="1"/>
    </w:p>
    <w:p w14:paraId="7C0EEA13" w14:textId="77777777" w:rsidR="00721F1A" w:rsidRDefault="00000000">
      <w:pPr>
        <w:pStyle w:val="FirstParagraph"/>
      </w:pPr>
      <w:r>
        <w:t>The modern supply chain executive sits at the intersection of four disciplines that rarely coexist in one career: operations execution, technology transformation, financial fluency, and geopolitical risk management. The leader you need can negotiate a 3PL contract, defend a network-redesign capex model to the CFO, evaluate an AI-driven planning platform without being sold vaporware, and explain to the board why a supplier concentration in one region is a balance-sheet risk.</w:t>
      </w:r>
    </w:p>
    <w:p w14:paraId="6336E392" w14:textId="77777777" w:rsidR="00721F1A" w:rsidRDefault="00000000">
      <w:pPr>
        <w:pStyle w:val="BodyText"/>
      </w:pPr>
      <w:r>
        <w:t>Very few candidates check all four boxes, because the role only started demanding all four recently. This is the central hiring insight: you are not selecting from a mature pool of finished executives. You are betting on trajectory — which candidates are growing into the job’s new shape fastest. Résumé screens calibrated to the old job will filter out exactly the people you want.</w:t>
      </w:r>
    </w:p>
    <w:p w14:paraId="4BC53DDE" w14:textId="77777777" w:rsidR="00721F1A" w:rsidRDefault="00000000">
      <w:pPr>
        <w:pStyle w:val="Heading2"/>
      </w:pPr>
      <w:bookmarkStart w:id="2" w:name="scarcity-punishes-passive-hiring-hardest"/>
      <w:r>
        <w:t>Scarcity punishes passive hiring hardest</w:t>
      </w:r>
      <w:bookmarkEnd w:id="2"/>
    </w:p>
    <w:p w14:paraId="68E341B7" w14:textId="77777777" w:rsidR="00721F1A" w:rsidRDefault="00000000">
      <w:pPr>
        <w:pStyle w:val="FirstParagraph"/>
      </w:pPr>
      <w:r>
        <w:t>In thin talent markets, the gap between active and passive candidates widens dramatically. The supply chain leaders with proven transformation records — the ones who took a network through nearshoring, or stood up integrated planning across a merged company — are employed, counteroffered aggressively, and almost never applying. What arrives through a job posting is disproportionately the market’s leftover inventory.</w:t>
      </w:r>
    </w:p>
    <w:p w14:paraId="715D020A" w14:textId="77777777" w:rsidR="00721F1A" w:rsidRDefault="00000000">
      <w:pPr>
        <w:pStyle w:val="BodyText"/>
      </w:pPr>
      <w:r>
        <w:t xml:space="preserve">That makes market mapping non-negotiable: identify the companies that have actually done what you’re trying to do — not just competitors, but adjacent industries that solved your problem earlier — and recruit deliberately from them. Consumer companies routinely find their best operations talent in industrial; healthcare systems poach from retail logistics. Functional excellence travels across industries better in supply chain than in </w:t>
      </w:r>
      <w:r>
        <w:lastRenderedPageBreak/>
        <w:t>almost any other discipline, and hiring processes that insist on same-industry experience shrink an already small pool for little gain.</w:t>
      </w:r>
    </w:p>
    <w:p w14:paraId="18241D71" w14:textId="77777777" w:rsidR="00721F1A" w:rsidRDefault="00000000">
      <w:pPr>
        <w:pStyle w:val="Heading2"/>
      </w:pPr>
      <w:bookmarkStart w:id="3" w:name="interrogate-the-transformation-claim"/>
      <w:r>
        <w:t>Interrogate the “transformation” claim</w:t>
      </w:r>
      <w:bookmarkEnd w:id="3"/>
    </w:p>
    <w:p w14:paraId="3C8A296E" w14:textId="77777777" w:rsidR="00721F1A" w:rsidRDefault="00000000">
      <w:pPr>
        <w:pStyle w:val="FirstParagraph"/>
      </w:pPr>
      <w:r>
        <w:t xml:space="preserve">Every supply chain résumé now says “led digital transformation” and “delivered $40M in savings.” The assessment challenge is separating leaders who drove change from those who stood near it. Three lines of inquiry consistently reveal the difference. First, decision rights: what did this person actually control — budget, headcount, vendor selection — versus influence? Second, mechanism: can they explain </w:t>
      </w:r>
      <w:r>
        <w:rPr>
          <w:i/>
        </w:rPr>
        <w:t>how</w:t>
      </w:r>
      <w:r>
        <w:t xml:space="preserve"> the savings materialized, at the level of inventory positions, freight lanes, or supplier terms? Leaders who did the work describe it in operational detail; observers describe it in slideware. Third, durability: did the improvement survive their departure? Reference checks with former CFOs and COOs — not just the candidates’ chosen references — answer this quickly.</w:t>
      </w:r>
    </w:p>
    <w:p w14:paraId="1B642F57" w14:textId="77777777" w:rsidR="00721F1A" w:rsidRDefault="00000000">
      <w:pPr>
        <w:pStyle w:val="Heading2"/>
      </w:pPr>
      <w:bookmarkStart w:id="4" w:name="sell-the-mandate-not-the-crisis"/>
      <w:r>
        <w:t>Sell the mandate, not the crisis</w:t>
      </w:r>
      <w:bookmarkEnd w:id="4"/>
    </w:p>
    <w:p w14:paraId="6D78CFEE" w14:textId="77777777" w:rsidR="00721F1A" w:rsidRDefault="00000000">
      <w:pPr>
        <w:pStyle w:val="FirstParagraph"/>
      </w:pPr>
      <w:r>
        <w:t>Companies hiring supply chain leadership are often doing so under pressure — a failed implementation, margin erosion, a board mandate. The instinct is to downplay the mess. Resist it. Experienced operators can smell an undisclosed crisis by the second interview, and discovering it late kills offers. The stronger move is candor paired with commitment: here’s what’s broken, here’s the executive sponsorship and capital behind fixing it, here’s what success buys you. The best transformation leaders are drawn to hard problems with real backing — what they decline is hard problems with rhetorical backing.</w:t>
      </w:r>
    </w:p>
    <w:p w14:paraId="4ECDC78F" w14:textId="77777777" w:rsidR="00721F1A" w:rsidRDefault="00000000">
      <w:pPr>
        <w:pStyle w:val="Heading2"/>
      </w:pPr>
      <w:bookmarkStart w:id="5" w:name="X6fd611681048ebb89a9ba73bf8b52abeb7a6548"/>
      <w:r>
        <w:t>Compensation has repriced; anchor accordingly</w:t>
      </w:r>
      <w:bookmarkEnd w:id="5"/>
    </w:p>
    <w:p w14:paraId="476D9A95" w14:textId="77777777" w:rsidR="00721F1A" w:rsidRDefault="00000000">
      <w:pPr>
        <w:pStyle w:val="FirstParagraph"/>
      </w:pPr>
      <w:r>
        <w:t>Supply chain executive compensation has risen faster than most functions since 2020, and internal equity frameworks built on the old pricing routinely produce failed offers. If your range was benchmarked when the role reported two layers below the CEO, it’s stale. The market has repriced the function; offers anchored to history rather than market lose finalists at the worst possible moment — after months of process. Decide early what the mandate is worth, not what the last incumbent cost.</w:t>
      </w:r>
    </w:p>
    <w:p w14:paraId="52D0139B" w14:textId="77777777" w:rsidR="00721F1A" w:rsidRDefault="00000000">
      <w:pPr>
        <w:pStyle w:val="Heading2"/>
      </w:pPr>
      <w:bookmarkStart w:id="6" w:name="Xadd6421bb2df8136429ef7a7a79ad62e61dcc33"/>
      <w:r>
        <w:t>Succession is the cheapest search you’ll ever run</w:t>
      </w:r>
      <w:bookmarkEnd w:id="6"/>
    </w:p>
    <w:p w14:paraId="138CF41B" w14:textId="77777777" w:rsidR="00721F1A" w:rsidRDefault="00000000">
      <w:pPr>
        <w:pStyle w:val="FirstParagraph"/>
      </w:pPr>
      <w:r>
        <w:t>The scarcity that makes external hiring hard makes internal development disproportionately valuable. The organizations that struggle least with supply chain leadership hiring are the ones that treat every senior search as a two-track exercise: recruit externally while honestly assessing whether a rising operator two levels down could close the gap with the right support. Even when the external hire wins, the exercise builds the bench — and the next search starts from strength instead of scarcity.</w:t>
      </w:r>
    </w:p>
    <w:p w14:paraId="217D7EA3" w14:textId="77777777" w:rsidR="00721F1A" w:rsidRDefault="00000000">
      <w:pPr>
        <w:pStyle w:val="Heading2"/>
      </w:pPr>
      <w:bookmarkStart w:id="7" w:name="the-takeaway"/>
      <w:r>
        <w:t>The takeaway</w:t>
      </w:r>
      <w:bookmarkEnd w:id="7"/>
    </w:p>
    <w:p w14:paraId="666FE9FC" w14:textId="77777777" w:rsidR="00721F1A" w:rsidRDefault="00000000">
      <w:pPr>
        <w:pStyle w:val="FirstParagraph"/>
      </w:pPr>
      <w:r>
        <w:t xml:space="preserve">Supply chain leadership has become strategic faster than the executive market could mature, and the standard playbook — post the role, screen for industry match, benchmark </w:t>
      </w:r>
      <w:r>
        <w:lastRenderedPageBreak/>
        <w:t>against last year’s comp — fails quietly at every step. Winning in this market means recruiting passive talent through deliberate market mapping, assessing for trajectory and verified transformation rather than polished narrative, selling hard mandates honestly, pricing to the market that exists, and building succession so scarcity hurts less each cycle.</w:t>
      </w:r>
    </w:p>
    <w:p w14:paraId="6E706048" w14:textId="77777777" w:rsidR="00721F1A" w:rsidRDefault="00000000">
      <w:pPr>
        <w:pStyle w:val="BodyText"/>
      </w:pPr>
      <w:r>
        <w:t>The companies that get this right won’t just fill a role. They’ll own a durable advantage in the function that now decides margins, resilience, and — as recent years keep proving — reputation.</w:t>
      </w:r>
    </w:p>
    <w:p w14:paraId="4397CE0E" w14:textId="52FBD7B9" w:rsidR="00721F1A" w:rsidRDefault="00DB0FEE" w:rsidP="003F1BF9">
      <w:r>
        <w:rPr>
          <w:noProof/>
        </w:rPr>
      </w:r>
      <w:r>
        <w:pict w14:anchorId="67806B4E">
          <v:rect id="Horizontal Line 1"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sectPr w:rsidR="00721F1A">
      <w:head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19AF88" w14:textId="77777777" w:rsidR="00DB0FEE" w:rsidRDefault="00DB0FEE">
      <w:pPr>
        <w:spacing w:after="0"/>
      </w:pPr>
      <w:r>
        <w:separator/>
      </w:r>
    </w:p>
  </w:endnote>
  <w:endnote w:type="continuationSeparator" w:id="0">
    <w:p w14:paraId="408C3BE8" w14:textId="77777777" w:rsidR="00DB0FEE" w:rsidRDefault="00DB0F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3352A7A" w14:textId="77777777" w:rsidR="00DB0FEE" w:rsidRDefault="00DB0FEE">
      <w:r>
        <w:separator/>
      </w:r>
    </w:p>
  </w:footnote>
  <w:footnote w:type="continuationSeparator" w:id="0">
    <w:p w14:paraId="1159119C" w14:textId="77777777" w:rsidR="00DB0FEE" w:rsidRDefault="00DB0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5699C0" w14:textId="5E1615EC" w:rsidR="003F1BF9" w:rsidRDefault="003F1BF9" w:rsidP="003F1BF9">
    <w:pPr>
      <w:pStyle w:val="Header"/>
      <w:jc w:val="center"/>
    </w:pPr>
    <w:r>
      <w:rPr>
        <w:noProof/>
      </w:rPr>
      <w:drawing>
        <wp:inline distT="0" distB="0" distL="0" distR="0" wp14:anchorId="1053EA09" wp14:editId="4CCBDBDB">
          <wp:extent cx="3446585" cy="328693"/>
          <wp:effectExtent l="0" t="0" r="0" b="0"/>
          <wp:docPr id="1060025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25698" name="Picture 1060025698"/>
                  <pic:cNvPicPr/>
                </pic:nvPicPr>
                <pic:blipFill>
                  <a:blip r:embed="rId1">
                    <a:extLst>
                      <a:ext uri="{28A0092B-C50C-407E-A947-70E740481C1C}">
                        <a14:useLocalDpi xmlns:a14="http://schemas.microsoft.com/office/drawing/2010/main" val="0"/>
                      </a:ext>
                    </a:extLst>
                  </a:blip>
                  <a:stretch>
                    <a:fillRect/>
                  </a:stretch>
                </pic:blipFill>
                <pic:spPr>
                  <a:xfrm>
                    <a:off x="0" y="0"/>
                    <a:ext cx="3563800" cy="339872"/>
                  </a:xfrm>
                  <a:prstGeom prst="rect">
                    <a:avLst/>
                  </a:prstGeom>
                </pic:spPr>
              </pic:pic>
            </a:graphicData>
          </a:graphic>
        </wp:inline>
      </w:drawing>
    </w:r>
  </w:p>
  <w:p w14:paraId="7503DF04" w14:textId="77777777" w:rsidR="003F1BF9" w:rsidRDefault="003F1B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C1AE401"/>
    <w:multiLevelType w:val="multilevel"/>
    <w:tmpl w:val="B914E73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7833150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6"/>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3F1BF9"/>
    <w:rsid w:val="00477B1D"/>
    <w:rsid w:val="004E29B3"/>
    <w:rsid w:val="00590D07"/>
    <w:rsid w:val="00721F1A"/>
    <w:rsid w:val="00784D58"/>
    <w:rsid w:val="008D6863"/>
    <w:rsid w:val="00B86B75"/>
    <w:rsid w:val="00BC48D5"/>
    <w:rsid w:val="00C36279"/>
    <w:rsid w:val="00DB0FEE"/>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B8C748"/>
  <w15:docId w15:val="{B5CFF5A3-A7B9-9347-AE32-158A5C17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3F1BF9"/>
    <w:pPr>
      <w:tabs>
        <w:tab w:val="center" w:pos="4680"/>
        <w:tab w:val="right" w:pos="9360"/>
      </w:tabs>
      <w:spacing w:after="0"/>
    </w:pPr>
  </w:style>
  <w:style w:type="character" w:customStyle="1" w:styleId="HeaderChar">
    <w:name w:val="Header Char"/>
    <w:basedOn w:val="DefaultParagraphFont"/>
    <w:link w:val="Header"/>
    <w:rsid w:val="003F1BF9"/>
  </w:style>
  <w:style w:type="paragraph" w:styleId="Footer">
    <w:name w:val="footer"/>
    <w:basedOn w:val="Normal"/>
    <w:link w:val="FooterChar"/>
    <w:rsid w:val="003F1BF9"/>
    <w:pPr>
      <w:tabs>
        <w:tab w:val="center" w:pos="4680"/>
        <w:tab w:val="right" w:pos="9360"/>
      </w:tabs>
      <w:spacing w:after="0"/>
    </w:pPr>
  </w:style>
  <w:style w:type="character" w:customStyle="1" w:styleId="FooterChar">
    <w:name w:val="Footer Char"/>
    <w:basedOn w:val="DefaultParagraphFont"/>
    <w:link w:val="Footer"/>
    <w:rsid w:val="003F1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909</Words>
  <Characters>5137</Characters>
  <Application>Microsoft Office Word</Application>
  <DocSecurity>0</DocSecurity>
  <Lines>81</Lines>
  <Paragraphs>25</Paragraphs>
  <ScaleCrop>false</ScaleCrop>
  <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Goetz</dc:creator>
  <cp:keywords/>
  <cp:lastModifiedBy>Michael Goetz</cp:lastModifiedBy>
  <cp:revision>2</cp:revision>
  <dcterms:created xsi:type="dcterms:W3CDTF">2026-07-09T17:56:00Z</dcterms:created>
  <dcterms:modified xsi:type="dcterms:W3CDTF">2026-07-09T17:56:00Z</dcterms:modified>
</cp:coreProperties>
</file>