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78B78AD" w14:textId="77777777" w:rsidR="00623C1C" w:rsidRDefault="00000000">
      <w:pPr>
        <w:pStyle w:val="Heading1"/>
      </w:pPr>
      <w:bookmarkStart w:id="0" w:name="X4478829a59b4825545e08d6e1200fc55439fc7d"/>
      <w:r>
        <w:t>The Executive Search Model Is Overdue for Reinvention</w:t>
      </w:r>
      <w:bookmarkEnd w:id="0"/>
    </w:p>
    <w:p w14:paraId="6CA16F05" w14:textId="77777777" w:rsidR="00623C1C" w:rsidRDefault="00000000">
      <w:pPr>
        <w:pStyle w:val="FirstParagraph"/>
      </w:pPr>
      <w:r>
        <w:rPr>
          <w:i/>
        </w:rPr>
        <w:t>A modern approach to executive talent acquisition — by the team at TriSearch</w:t>
      </w:r>
    </w:p>
    <w:p w14:paraId="082CFB6C" w14:textId="77777777" w:rsidR="00623C1C" w:rsidRDefault="00000000">
      <w:pPr>
        <w:pStyle w:val="BodyText"/>
      </w:pPr>
      <w:r>
        <w:t>Ask most hiring leaders how executive search works and they’ll describe a process that hasn’t fundamentally changed in forty years: pay a large retainer, wait for a slate, interview whoever arrives, and hope the guarantee never gets tested. The world those firms were built for — scarce information, gatekept networks, Rolodexes as competitive moats — no longer exists. Yet the model persists, mostly because nobody asked whether it should.</w:t>
      </w:r>
    </w:p>
    <w:p w14:paraId="40B6013A" w14:textId="77777777" w:rsidR="00623C1C" w:rsidRDefault="00000000">
      <w:pPr>
        <w:pStyle w:val="BodyText"/>
      </w:pPr>
      <w:r>
        <w:t>We think it shouldn’t. Here’s what a modern approach to executive talent acquisition actually looks like.</w:t>
      </w:r>
    </w:p>
    <w:p w14:paraId="2159E13E" w14:textId="77777777" w:rsidR="00623C1C" w:rsidRDefault="00000000">
      <w:pPr>
        <w:pStyle w:val="Heading2"/>
      </w:pPr>
      <w:bookmarkStart w:id="1" w:name="the-best-candidate-isnt-applying"/>
      <w:r>
        <w:t>The best candidate isn’t applying</w:t>
      </w:r>
      <w:bookmarkEnd w:id="1"/>
    </w:p>
    <w:p w14:paraId="1022D2D4" w14:textId="77777777" w:rsidR="00623C1C" w:rsidRDefault="00000000">
      <w:pPr>
        <w:pStyle w:val="FirstParagraph"/>
      </w:pPr>
      <w:r>
        <w:t>The single biggest shift in executive recruiting is philosophical, not technological. Traditional search assumes the market comes to you; modern search assumes it won’t. The strongest operators — the VP quietly compounding value at a competitor, the director whose portfolio outperforms every benchmark — are not reading job postings. They’re employed, engaged, and invisible to any process built on inbound applicants.</w:t>
      </w:r>
    </w:p>
    <w:p w14:paraId="22FED78C" w14:textId="77777777" w:rsidR="00623C1C" w:rsidRDefault="00000000">
      <w:pPr>
        <w:pStyle w:val="BodyText"/>
      </w:pPr>
      <w:r>
        <w:t>Reaching them requires deliberate market mapping: defining the specific companies where the right talent already works, then engaging those people directly, respectfully, and with a story worth leaving for. This is slower to describe than “post and pray,” but dramatically faster in practice, because you spend zero cycles on candidates who were never right.</w:t>
      </w:r>
    </w:p>
    <w:p w14:paraId="259FE91B" w14:textId="77777777" w:rsidR="00623C1C" w:rsidRDefault="00000000">
      <w:pPr>
        <w:pStyle w:val="Heading2"/>
      </w:pPr>
      <w:bookmarkStart w:id="2" w:name="fresh-research-beats-a-deep-database"/>
      <w:r>
        <w:t>Fresh research beats a deep database</w:t>
      </w:r>
      <w:bookmarkEnd w:id="2"/>
    </w:p>
    <w:p w14:paraId="02BE8315" w14:textId="77777777" w:rsidR="00623C1C" w:rsidRDefault="00000000">
      <w:pPr>
        <w:pStyle w:val="FirstParagraph"/>
      </w:pPr>
      <w:r>
        <w:t>The old moat was the database. The modern liability is the database. A firm that starts every search by querying the same pool it sold the last client is optimizing for its own efficiency, not your outcome. Markets move too quickly for recycled candidates: people change roles, develop new skills, and become reachable (or unreachable) in months, not years.</w:t>
      </w:r>
    </w:p>
    <w:p w14:paraId="61B78109" w14:textId="77777777" w:rsidR="00623C1C" w:rsidRDefault="00000000">
      <w:pPr>
        <w:pStyle w:val="BodyText"/>
      </w:pPr>
      <w:r>
        <w:t>Every meaningful search should start from scratch — a custom target list, current org intelligence, and live outreach. The uncomfortable implication for our industry is that the asset that used to justify fees is now the thing clients should be most skeptical of.</w:t>
      </w:r>
    </w:p>
    <w:p w14:paraId="57DE3041" w14:textId="77777777" w:rsidR="00623C1C" w:rsidRDefault="00000000">
      <w:pPr>
        <w:pStyle w:val="Heading2"/>
      </w:pPr>
      <w:bookmarkStart w:id="3" w:name="technology-curates-people-decide"/>
      <w:r>
        <w:t>Technology curates; people decide</w:t>
      </w:r>
      <w:bookmarkEnd w:id="3"/>
    </w:p>
    <w:p w14:paraId="01EE135F" w14:textId="77777777" w:rsidR="00623C1C" w:rsidRDefault="00000000">
      <w:pPr>
        <w:pStyle w:val="FirstParagraph"/>
      </w:pPr>
      <w:r>
        <w:t>AI-assisted sourcing, automated screening, and data-driven outreach have genuinely changed the top of the funnel. What they haven’t changed — and won’t — is the judgment layer. No model can yet tell you whether a candidate’s ambition fits your operating culture, whether their “led the turnaround” claim survives a reference check, or whether they’ll actually resign when the counteroffer lands.</w:t>
      </w:r>
    </w:p>
    <w:p w14:paraId="2569CA40" w14:textId="77777777" w:rsidR="00623C1C" w:rsidRDefault="00000000">
      <w:pPr>
        <w:pStyle w:val="BodyText"/>
      </w:pPr>
      <w:r>
        <w:lastRenderedPageBreak/>
        <w:t>The modern stack, done right, uses technology to widen and accelerate the search while concentrating human expertise where it matters: structured competency assessment, cultural evaluation, and the delicate final mile of closing. Firms that automate the judgment are cutting the wrong cost. Firms that refuse to automate the sourcing are billing for the wrong labor.</w:t>
      </w:r>
    </w:p>
    <w:p w14:paraId="6680CF91" w14:textId="77777777" w:rsidR="00623C1C" w:rsidRDefault="00000000">
      <w:pPr>
        <w:pStyle w:val="Heading2"/>
      </w:pPr>
      <w:bookmarkStart w:id="4" w:name="incentives-are-the-real-differentiator"/>
      <w:r>
        <w:t>Incentives are the real differentiator</w:t>
      </w:r>
      <w:bookmarkEnd w:id="4"/>
    </w:p>
    <w:p w14:paraId="76A7E81B" w14:textId="77777777" w:rsidR="00623C1C" w:rsidRDefault="00000000">
      <w:pPr>
        <w:pStyle w:val="FirstParagraph"/>
      </w:pPr>
      <w:r>
        <w:t xml:space="preserve">Here’s a question worth asking any search partner: </w:t>
      </w:r>
      <w:r>
        <w:rPr>
          <w:i/>
        </w:rPr>
        <w:t>what happens to your economics if this search fails?</w:t>
      </w:r>
      <w:r>
        <w:t xml:space="preserve"> Under the classic retained model, the honest answer is “not much” — fees are earned by process milestones, not outcomes. Under pure contingency, the incentive skews the other way: speed over rigor, candidate-shopping over exclusivity.</w:t>
      </w:r>
    </w:p>
    <w:p w14:paraId="22804C5F" w14:textId="77777777" w:rsidR="00623C1C" w:rsidRDefault="00000000">
      <w:pPr>
        <w:pStyle w:val="BodyText"/>
      </w:pPr>
      <w:r>
        <w:t>A modern structure ties a meaningful share of the fee to measurable progress and successful completion, and backs placements with guarantees long enough to be uncomfortable for the firm. When the recruiter’s downside mirrors the client’s, behavior changes: slates get more honest, feedback gets more candid, and “almost right” candidates stop showing up in your inbox.</w:t>
      </w:r>
    </w:p>
    <w:p w14:paraId="2EFE9607" w14:textId="77777777" w:rsidR="00623C1C" w:rsidRDefault="00000000">
      <w:pPr>
        <w:pStyle w:val="Heading2"/>
      </w:pPr>
      <w:bookmarkStart w:id="5" w:name="transparency-is-a-feature-not-a-courtesy"/>
      <w:r>
        <w:t>Transparency is a feature, not a courtesy</w:t>
      </w:r>
      <w:bookmarkEnd w:id="5"/>
    </w:p>
    <w:p w14:paraId="77CE6940" w14:textId="77777777" w:rsidR="00623C1C" w:rsidRDefault="00000000">
      <w:pPr>
        <w:pStyle w:val="FirstParagraph"/>
      </w:pPr>
      <w:r>
        <w:t>Executive search has historically operated as a black box — reassuring updates, little visibility, and an information asymmetry that favored the firm. There is no longer any technical excuse for this. Clients should expect live pipeline visibility, weekly metrics, real market feedback (including the unflattering kind: how your compensation bands, reputation, or interview process are landing with the people you want), and a shared workflow rather than a monthly phone call.</w:t>
      </w:r>
    </w:p>
    <w:p w14:paraId="44A8ACDE" w14:textId="77777777" w:rsidR="00623C1C" w:rsidRDefault="00000000">
      <w:pPr>
        <w:pStyle w:val="BodyText"/>
      </w:pPr>
      <w:r>
        <w:t>Transparency also disciplines the search firm. When the client can see the pipeline, thin work has nowhere to hide.</w:t>
      </w:r>
    </w:p>
    <w:p w14:paraId="15FC9ACA" w14:textId="77777777" w:rsidR="00623C1C" w:rsidRDefault="00000000">
      <w:pPr>
        <w:pStyle w:val="Heading2"/>
      </w:pPr>
      <w:bookmarkStart w:id="6" w:name="candidate-experience-is-employer-brand"/>
      <w:r>
        <w:t>Candidate experience is employer brand</w:t>
      </w:r>
      <w:bookmarkEnd w:id="6"/>
    </w:p>
    <w:p w14:paraId="16CAFE91" w14:textId="77777777" w:rsidR="00623C1C" w:rsidRDefault="00000000">
      <w:pPr>
        <w:pStyle w:val="FirstParagraph"/>
      </w:pPr>
      <w:r>
        <w:t>Every executive you interview — hired or not — leaves with a story about your company, and executives talk to each other. A modern process treats candidates as future clients, board members, and referral sources: fast feedback, honest communication about fit, and closing support that respects the gravity of a senior person uprooting their career. Firms and employers that treat the slate as disposable are spending brand equity they’ll want back.</w:t>
      </w:r>
    </w:p>
    <w:p w14:paraId="0494C996" w14:textId="77777777" w:rsidR="00623C1C" w:rsidRDefault="00000000">
      <w:pPr>
        <w:pStyle w:val="Heading2"/>
      </w:pPr>
      <w:bookmarkStart w:id="7" w:name="the-engagement-should-fit-the-problem"/>
      <w:r>
        <w:t>The engagement should fit the problem</w:t>
      </w:r>
      <w:bookmarkEnd w:id="7"/>
    </w:p>
    <w:p w14:paraId="5B0628DA" w14:textId="77777777" w:rsidR="00623C1C" w:rsidRDefault="00000000">
      <w:pPr>
        <w:pStyle w:val="FirstParagraph"/>
      </w:pPr>
      <w:r>
        <w:t xml:space="preserve">Perhaps the clearest sign of a legacy mindset is the one-size-fits-all engagement. Hiring one transformational director is a different problem than standing up a forty-person function, which is different again from a confidential replacement. The structures — retained, contingent, RPO, embedded partnership — each contain something worth keeping and something worth discarding. The modern move is hybrid: match the engagement’s pace, </w:t>
      </w:r>
      <w:r>
        <w:lastRenderedPageBreak/>
        <w:t>exclusivity, and pricing to the actual hiring problem rather than forcing the problem into the firm’s preferred billing model.</w:t>
      </w:r>
    </w:p>
    <w:p w14:paraId="165A173A" w14:textId="77777777" w:rsidR="00623C1C" w:rsidRDefault="00000000">
      <w:pPr>
        <w:pStyle w:val="Heading2"/>
      </w:pPr>
      <w:bookmarkStart w:id="8" w:name="what-to-take-from-this"/>
      <w:r>
        <w:t>What to take from this</w:t>
      </w:r>
      <w:bookmarkEnd w:id="8"/>
    </w:p>
    <w:p w14:paraId="1939D25B" w14:textId="77777777" w:rsidR="00623C1C" w:rsidRDefault="00000000">
      <w:pPr>
        <w:pStyle w:val="FirstParagraph"/>
      </w:pPr>
      <w:r>
        <w:t>If you’re responsible for executive hiring, the practical checklist is short. Insist on original research, not database dividends. Demand visibility into the pipeline, not narrative updates. Structure fees so your search partner wins when you win. Evaluate candidates with the same rigor you’d apply to an acquisition. And treat every candidate interaction as the brand investment it is.</w:t>
      </w:r>
    </w:p>
    <w:p w14:paraId="5A47AF12" w14:textId="77777777" w:rsidR="00623C1C" w:rsidRDefault="00000000">
      <w:pPr>
        <w:pStyle w:val="BodyText"/>
      </w:pPr>
      <w:r>
        <w:t>Executive search isn’t dying — the need for judgment, discretion, and human persuasion at the top of organizations has never been greater. But the traditional model’s assumptions have quietly expired. The firms and talent leaders who rebuild around passive talent, aligned incentives, transparent process, and technology-amplified human judgment will simply out-hire the ones who don’t.</w:t>
      </w:r>
    </w:p>
    <w:p w14:paraId="1E29FC3B" w14:textId="7F1A06B4" w:rsidR="00623C1C" w:rsidRDefault="00E92E53" w:rsidP="00F00062">
      <w:r>
        <w:rPr>
          <w:noProof/>
        </w:rPr>
      </w:r>
      <w:r>
        <w:pict w14:anchorId="520B8CFE">
          <v:rect id="Horizontal Line 1" o:spid="_x0000_s1026" style="width:468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C+phS/cAAAACAEAAA8AAAAAAAAAAAAAAAAAswQAAGRycy9kb3ducmV2Lnht&#13;&#10;bFBLBQYAAAAABAAEAPMAAAC8BQAAAAA=&#13;&#10;" filled="f">
            <o:lock v:ext="edit" rotation="t" aspectratio="t" verticies="t" text="t" shapetype="t"/>
            <w10:anchorlock/>
          </v:rect>
        </w:pict>
      </w:r>
    </w:p>
    <w:sectPr w:rsidR="00623C1C">
      <w:headerReference w:type="default" r:id="rId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02A58FE" w14:textId="77777777" w:rsidR="00E92E53" w:rsidRDefault="00E92E53">
      <w:pPr>
        <w:spacing w:after="0"/>
      </w:pPr>
      <w:r>
        <w:separator/>
      </w:r>
    </w:p>
  </w:endnote>
  <w:endnote w:type="continuationSeparator" w:id="0">
    <w:p w14:paraId="6954EF41" w14:textId="77777777" w:rsidR="00E92E53" w:rsidRDefault="00E92E5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D4A72E1" w14:textId="77777777" w:rsidR="00E92E53" w:rsidRDefault="00E92E53">
      <w:r>
        <w:separator/>
      </w:r>
    </w:p>
  </w:footnote>
  <w:footnote w:type="continuationSeparator" w:id="0">
    <w:p w14:paraId="2B0B4D97" w14:textId="77777777" w:rsidR="00E92E53" w:rsidRDefault="00E92E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B4CC377" w14:textId="2FAEA150" w:rsidR="00F00062" w:rsidRDefault="00F00062" w:rsidP="00F00062">
    <w:pPr>
      <w:pStyle w:val="Header"/>
      <w:jc w:val="center"/>
    </w:pPr>
    <w:r>
      <w:rPr>
        <w:noProof/>
      </w:rPr>
      <w:drawing>
        <wp:inline distT="0" distB="0" distL="0" distR="0" wp14:anchorId="596F4643" wp14:editId="4BB57704">
          <wp:extent cx="2950198" cy="281354"/>
          <wp:effectExtent l="0" t="0" r="0" b="0"/>
          <wp:docPr id="11764163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416357" name="Picture 1176416357"/>
                  <pic:cNvPicPr/>
                </pic:nvPicPr>
                <pic:blipFill>
                  <a:blip r:embed="rId1">
                    <a:extLst>
                      <a:ext uri="{28A0092B-C50C-407E-A947-70E740481C1C}">
                        <a14:useLocalDpi xmlns:a14="http://schemas.microsoft.com/office/drawing/2010/main" val="0"/>
                      </a:ext>
                    </a:extLst>
                  </a:blip>
                  <a:stretch>
                    <a:fillRect/>
                  </a:stretch>
                </pic:blipFill>
                <pic:spPr>
                  <a:xfrm>
                    <a:off x="0" y="0"/>
                    <a:ext cx="3063078" cy="292119"/>
                  </a:xfrm>
                  <a:prstGeom prst="rect">
                    <a:avLst/>
                  </a:prstGeom>
                </pic:spPr>
              </pic:pic>
            </a:graphicData>
          </a:graphic>
        </wp:inline>
      </w:drawing>
    </w:r>
  </w:p>
  <w:p w14:paraId="5100A221" w14:textId="77777777" w:rsidR="00F00062" w:rsidRDefault="00F000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C1AE401"/>
    <w:multiLevelType w:val="multilevel"/>
    <w:tmpl w:val="46C0C2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97872914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6"/>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477B1D"/>
    <w:rsid w:val="004E29B3"/>
    <w:rsid w:val="00542729"/>
    <w:rsid w:val="00590D07"/>
    <w:rsid w:val="00623C1C"/>
    <w:rsid w:val="00784D58"/>
    <w:rsid w:val="008D6863"/>
    <w:rsid w:val="00B86B75"/>
    <w:rsid w:val="00BC48D5"/>
    <w:rsid w:val="00C36279"/>
    <w:rsid w:val="00E315A3"/>
    <w:rsid w:val="00E92E53"/>
    <w:rsid w:val="00F00062"/>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5C029FC"/>
  <w15:docId w15:val="{B5CFF5A3-A7B9-9347-AE32-158A5C171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rsid w:val="00F00062"/>
    <w:pPr>
      <w:tabs>
        <w:tab w:val="center" w:pos="4680"/>
        <w:tab w:val="right" w:pos="9360"/>
      </w:tabs>
      <w:spacing w:after="0"/>
    </w:pPr>
  </w:style>
  <w:style w:type="character" w:customStyle="1" w:styleId="HeaderChar">
    <w:name w:val="Header Char"/>
    <w:basedOn w:val="DefaultParagraphFont"/>
    <w:link w:val="Header"/>
    <w:rsid w:val="00F00062"/>
  </w:style>
  <w:style w:type="paragraph" w:styleId="Footer">
    <w:name w:val="footer"/>
    <w:basedOn w:val="Normal"/>
    <w:link w:val="FooterChar"/>
    <w:rsid w:val="00F00062"/>
    <w:pPr>
      <w:tabs>
        <w:tab w:val="center" w:pos="4680"/>
        <w:tab w:val="right" w:pos="9360"/>
      </w:tabs>
      <w:spacing w:after="0"/>
    </w:pPr>
  </w:style>
  <w:style w:type="character" w:customStyle="1" w:styleId="FooterChar">
    <w:name w:val="Footer Char"/>
    <w:basedOn w:val="DefaultParagraphFont"/>
    <w:link w:val="Footer"/>
    <w:rsid w:val="00F000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936</Words>
  <Characters>5308</Characters>
  <Application>Microsoft Office Word</Application>
  <DocSecurity>0</DocSecurity>
  <Lines>87</Lines>
  <Paragraphs>30</Paragraphs>
  <ScaleCrop>false</ScaleCrop>
  <Company/>
  <LinksUpToDate>false</LinksUpToDate>
  <CharactersWithSpaces>6214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Goetz</dc:creator>
  <cp:keywords/>
  <cp:lastModifiedBy>Michael Goetz</cp:lastModifiedBy>
  <cp:revision>2</cp:revision>
  <dcterms:created xsi:type="dcterms:W3CDTF">2026-07-09T17:52:00Z</dcterms:created>
  <dcterms:modified xsi:type="dcterms:W3CDTF">2026-07-09T17:52:00Z</dcterms:modified>
</cp:coreProperties>
</file>