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833B9F" w14:textId="77777777" w:rsidR="002233DD" w:rsidRDefault="00000000">
      <w:pPr>
        <w:pStyle w:val="Heading1"/>
      </w:pPr>
      <w:bookmarkStart w:id="0" w:name="Xc933ce4cce003427fd1b0601ebc288d9696f965"/>
      <w:r>
        <w:t>Where Executive Hires Are Actually Lost: Optimizing the Process Nobody Audits</w:t>
      </w:r>
      <w:bookmarkEnd w:id="0"/>
    </w:p>
    <w:p w14:paraId="3D932298" w14:textId="77777777" w:rsidR="002233DD" w:rsidRDefault="00000000">
      <w:pPr>
        <w:pStyle w:val="FirstParagraph"/>
      </w:pPr>
      <w:r>
        <w:rPr>
          <w:i/>
        </w:rPr>
        <w:t>By the team at TriSearch</w:t>
      </w:r>
    </w:p>
    <w:p w14:paraId="50A30745" w14:textId="77777777" w:rsidR="002233DD" w:rsidRDefault="00000000">
      <w:pPr>
        <w:pStyle w:val="BodyText"/>
      </w:pPr>
      <w:r>
        <w:t>Companies obsess over sourcing — where to find executive talent, which firm to engage, how to reach passive candidates. Then they run those hard-won candidates through a hiring process that no one has examined in years, and lose the best ones somewhere between the first conversation and the signed offer.</w:t>
      </w:r>
    </w:p>
    <w:p w14:paraId="195ACB0B" w14:textId="77777777" w:rsidR="002233DD" w:rsidRDefault="00000000">
      <w:pPr>
        <w:pStyle w:val="BodyText"/>
      </w:pPr>
      <w:r>
        <w:t>In our experience, most failed executive searches don’t fail on talent supply. They fail on process: undefined success criteria, interview loops that measure charisma, weeks of silence at decision points, and offers constructed at the last minute. The good news is that process is the one part of hiring entirely within your control. Here’s where to optimize.</w:t>
      </w:r>
    </w:p>
    <w:p w14:paraId="4B2C2AD4" w14:textId="77777777" w:rsidR="002233DD" w:rsidRDefault="00000000">
      <w:pPr>
        <w:pStyle w:val="Heading2"/>
      </w:pPr>
      <w:bookmarkStart w:id="1" w:name="Xeadbd692845c61151b36e64978820fb69e4d700"/>
      <w:r>
        <w:t>Start with a success profile, not a job description</w:t>
      </w:r>
      <w:bookmarkEnd w:id="1"/>
    </w:p>
    <w:p w14:paraId="7873EBF1" w14:textId="77777777" w:rsidR="002233DD" w:rsidRDefault="00000000">
      <w:pPr>
        <w:pStyle w:val="FirstParagraph"/>
      </w:pPr>
      <w:r>
        <w:t>Most executive job descriptions are inherited documents — a list of responsibilities from the last incumbent plus whatever keywords are fashionable. They describe the seat, not the outcome. The single highest-leverage hour in any search is spent before it opens: aligning stakeholders on what this person must accomplish in the first 18–24 months, what capabilities that actually requires, and — critically — what you’ll trade off. Every mandate has tensions (visionary vs. operator, builder vs. fixer); pretending otherwise produces the mythical candidate who is all things, matches no one, and stalls the search at the evaluation stage because no two interviewers are scoring against the same target.</w:t>
      </w:r>
    </w:p>
    <w:p w14:paraId="122F7018" w14:textId="77777777" w:rsidR="002233DD" w:rsidRDefault="00000000">
      <w:pPr>
        <w:pStyle w:val="BodyText"/>
      </w:pPr>
      <w:r>
        <w:t>A written success profile also exposes disagreement early. If the CEO wants a transformer and the board wants a stabilizer, better to fight that out in week one than in the final round, in front of your best finalist.</w:t>
      </w:r>
    </w:p>
    <w:p w14:paraId="40EBFFA4" w14:textId="77777777" w:rsidR="002233DD" w:rsidRDefault="00000000">
      <w:pPr>
        <w:pStyle w:val="Heading2"/>
      </w:pPr>
      <w:bookmarkStart w:id="2" w:name="X03348a7c319167c3a339d3a1747352c1deab81e"/>
      <w:r>
        <w:t>Design the loop backward from the decision</w:t>
      </w:r>
      <w:bookmarkEnd w:id="2"/>
    </w:p>
    <w:p w14:paraId="38BB15E3" w14:textId="77777777" w:rsidR="002233DD" w:rsidRDefault="00000000">
      <w:pPr>
        <w:pStyle w:val="FirstParagraph"/>
      </w:pPr>
      <w:r>
        <w:t>An optimized interview process starts with the question: what evidence do we need to make this decision confidently? Then it assigns each piece of evidence to a specific stage and interviewer. Most loops do the opposite — they assemble available executives, let each freelance for an hour, and produce five overlapping opinions about “presence” and none about the three capabilities the success profile named.</w:t>
      </w:r>
    </w:p>
    <w:p w14:paraId="7C438119" w14:textId="77777777" w:rsidR="002233DD" w:rsidRDefault="00000000">
      <w:pPr>
        <w:pStyle w:val="BodyText"/>
      </w:pPr>
      <w:r>
        <w:t>The practical fixes are unglamorous and effective. Give every interviewer an owned domain and structured questions. Replace at least one conversation with a working session — a case, a strategy discussion on real company data, a review of the candidate’s actual plan — because watching an executive think beats hearing them narrate. Cap the loop; anything beyond five or six substantive touchpoints adds delay and diminishing signal. And score against the profile immediately after each round, not from memory in a debrief two weeks later.</w:t>
      </w:r>
    </w:p>
    <w:p w14:paraId="44BCA1E7" w14:textId="77777777" w:rsidR="002233DD" w:rsidRDefault="00000000">
      <w:pPr>
        <w:pStyle w:val="Heading2"/>
      </w:pPr>
      <w:bookmarkStart w:id="3" w:name="speed-is-a-strategy-not-a-courtesy"/>
      <w:r>
        <w:lastRenderedPageBreak/>
        <w:t>Speed is a strategy, not a courtesy</w:t>
      </w:r>
      <w:bookmarkEnd w:id="3"/>
    </w:p>
    <w:p w14:paraId="139C047F" w14:textId="77777777" w:rsidR="002233DD" w:rsidRDefault="00000000">
      <w:pPr>
        <w:pStyle w:val="FirstParagraph"/>
      </w:pPr>
      <w:r>
        <w:t>Executive candidates — especially the employed, passive ones worth pursuing — read your process as a preview of your operating culture. Three weeks of silence after a final round doesn’t communicate deliberation; it communicates that decisions here are slow and ownership is diffuse. Meanwhile, every week of drift is a week for counteroffers to form, spouses to waver, and competing processes to close.</w:t>
      </w:r>
    </w:p>
    <w:p w14:paraId="63652CFD" w14:textId="77777777" w:rsidR="002233DD" w:rsidRDefault="00000000">
      <w:pPr>
        <w:pStyle w:val="BodyText"/>
      </w:pPr>
      <w:r>
        <w:t>The benchmark worth holding: an executive search process should move from first interview to offer in six to eight weeks, with no dead zones longer than five business days without candidate contact. This is rarely a scheduling problem — calendars are an excuse — it’s a decision-rights problem. Name a single accountable owner who can force scheduling, break ties, and call the question. Searches with a real owner move twice as fast as searches run by committee, and speed compounds: fast processes signal conviction, and conviction closes candidates.</w:t>
      </w:r>
    </w:p>
    <w:p w14:paraId="3B7BD03C" w14:textId="77777777" w:rsidR="002233DD" w:rsidRDefault="00000000">
      <w:pPr>
        <w:pStyle w:val="Heading2"/>
      </w:pPr>
      <w:bookmarkStart w:id="4" w:name="treat-evaluation-as-risk-management"/>
      <w:r>
        <w:t>Treat evaluation as risk management</w:t>
      </w:r>
      <w:bookmarkEnd w:id="4"/>
    </w:p>
    <w:p w14:paraId="17F05DF9" w14:textId="77777777" w:rsidR="002233DD" w:rsidRDefault="00000000">
      <w:pPr>
        <w:pStyle w:val="FirstParagraph"/>
      </w:pPr>
      <w:r>
        <w:t>The most expensive hiring failures happen after the interviews go well. Executive candidates are, almost by definition, skilled presenters of themselves; interviews systematically overweight polish and underweight track record. The corrective is structure at the back end: referencing that goes beyond the provided list to former managers, peers, and direct reports; verification of claimed outcomes at the level of mechanism (what did you control, how did the number materialize, did it last); and where stakes justify it, formal assessment of leadership style against the team the person will inherit.</w:t>
      </w:r>
    </w:p>
    <w:p w14:paraId="7B51DA91" w14:textId="77777777" w:rsidR="002233DD" w:rsidRDefault="00000000">
      <w:pPr>
        <w:pStyle w:val="BodyText"/>
      </w:pPr>
      <w:r>
        <w:t>None of this is adversarial. Candidates with real records generally welcome rigor — it flatters what they’ve actually done. The ones who resist deep referencing are telling you something worth knowing at this stage rather than in month nine.</w:t>
      </w:r>
    </w:p>
    <w:p w14:paraId="0E3AE6F6" w14:textId="77777777" w:rsidR="002233DD" w:rsidRDefault="00000000">
      <w:pPr>
        <w:pStyle w:val="Heading2"/>
      </w:pPr>
      <w:bookmarkStart w:id="5" w:name="construct-the-close-before-you-need-it"/>
      <w:r>
        <w:t>Construct the close before you need it</w:t>
      </w:r>
      <w:bookmarkEnd w:id="5"/>
    </w:p>
    <w:p w14:paraId="04BB2FA1" w14:textId="77777777" w:rsidR="002233DD" w:rsidRDefault="00000000">
      <w:pPr>
        <w:pStyle w:val="FirstParagraph"/>
      </w:pPr>
      <w:r>
        <w:t xml:space="preserve">Offers fail for predictable reasons: compensation anchored to internal history rather than market, equity mechanics explained badly and late, relocation and family considerations discovered at the finish line, and counteroffers treated as betrayal instead of certainty. Every one of these is addressable weeks earlier. Optimized processes surface compensation expectations by the second conversation, pressure-test motivation and constraints throughout, and prepare the counteroffer conversation before the resignation happens — because for a strong executive, the counteroffer </w:t>
      </w:r>
      <w:r>
        <w:rPr>
          <w:i/>
        </w:rPr>
        <w:t>will</w:t>
      </w:r>
      <w:r>
        <w:t xml:space="preserve"> happen.</w:t>
      </w:r>
    </w:p>
    <w:p w14:paraId="1C1EF92D" w14:textId="77777777" w:rsidR="002233DD" w:rsidRDefault="00000000">
      <w:pPr>
        <w:pStyle w:val="BodyText"/>
      </w:pPr>
      <w:r>
        <w:t>The close also doesn’t end at signature. The window between acceptance and start date is the most fragile period in the entire process, and the cheapest to protect: sustained contact from the hiring executive, early introductions, and real onboarding preparation convert a signed offer into an arrived leader.</w:t>
      </w:r>
    </w:p>
    <w:p w14:paraId="6B49E3F9" w14:textId="77777777" w:rsidR="002233DD" w:rsidRDefault="00000000">
      <w:pPr>
        <w:pStyle w:val="Heading2"/>
      </w:pPr>
      <w:bookmarkStart w:id="6" w:name="X2c3ac87c8b7557434ec1e042302ab975f3e764f"/>
      <w:r>
        <w:lastRenderedPageBreak/>
        <w:t>Instrument the process like any other business system</w:t>
      </w:r>
      <w:bookmarkEnd w:id="6"/>
    </w:p>
    <w:p w14:paraId="0CBBC33E" w14:textId="77777777" w:rsidR="002233DD" w:rsidRDefault="00000000">
      <w:pPr>
        <w:pStyle w:val="FirstParagraph"/>
      </w:pPr>
      <w:r>
        <w:t>Finally, measure it. Time-to-fill, pass-through rates by stage, offer-acceptance rate, source of hire, and — most neglected — 18-month retention and performance of past hires against their original success profiles. A hiring process that never reviews its own outcomes can’t improve, and executive hiring is too expensive to run on folklore. The organizations that treat hiring as an operating discipline, with owners, metrics, and post-mortems, steadily out-hire the ones that treat each search as a one-off emergency.</w:t>
      </w:r>
    </w:p>
    <w:p w14:paraId="1A3DD7B3" w14:textId="77777777" w:rsidR="002233DD" w:rsidRDefault="00000000">
      <w:pPr>
        <w:pStyle w:val="Heading2"/>
      </w:pPr>
      <w:bookmarkStart w:id="7" w:name="the-takeaway"/>
      <w:r>
        <w:t>The takeaway</w:t>
      </w:r>
      <w:bookmarkEnd w:id="7"/>
    </w:p>
    <w:p w14:paraId="5188AE04" w14:textId="77777777" w:rsidR="002233DD" w:rsidRDefault="00000000">
      <w:pPr>
        <w:pStyle w:val="FirstParagraph"/>
      </w:pPr>
      <w:r>
        <w:t>Executive hiring optimization isn’t about adding steps — it’s usually about removing them and sharpening what remains: one aligned success profile, an evidence-driven loop, a single accountable owner, a six-to-eight-week clock, structured verification, and a close that starts in week two. Talent markets are competitive; your process doesn’t have to be your handicap. Fixed well, it becomes the quiet advantage — the reason the candidate everyone wanted chose you.</w:t>
      </w:r>
    </w:p>
    <w:p w14:paraId="2D85ABE7" w14:textId="6F49159A" w:rsidR="002233DD" w:rsidRDefault="002233DD" w:rsidP="00044940"/>
    <w:sectPr w:rsidR="002233DD">
      <w:head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E36B1F" w14:textId="77777777" w:rsidR="00051754" w:rsidRDefault="00051754">
      <w:pPr>
        <w:spacing w:after="0"/>
      </w:pPr>
      <w:r>
        <w:separator/>
      </w:r>
    </w:p>
  </w:endnote>
  <w:endnote w:type="continuationSeparator" w:id="0">
    <w:p w14:paraId="001F1C4A" w14:textId="77777777" w:rsidR="00051754" w:rsidRDefault="000517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8A3FCB" w14:textId="77777777" w:rsidR="00051754" w:rsidRDefault="00051754">
      <w:r>
        <w:separator/>
      </w:r>
    </w:p>
  </w:footnote>
  <w:footnote w:type="continuationSeparator" w:id="0">
    <w:p w14:paraId="34DD9A0F" w14:textId="77777777" w:rsidR="00051754" w:rsidRDefault="00051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555136" w14:textId="58A44E9D" w:rsidR="00044940" w:rsidRDefault="00044940" w:rsidP="00044940">
    <w:pPr>
      <w:pStyle w:val="Header"/>
      <w:jc w:val="center"/>
    </w:pPr>
    <w:r>
      <w:rPr>
        <w:noProof/>
      </w:rPr>
      <w:drawing>
        <wp:inline distT="0" distB="0" distL="0" distR="0" wp14:anchorId="3268D4EC" wp14:editId="5393F2DE">
          <wp:extent cx="3165231" cy="301861"/>
          <wp:effectExtent l="0" t="0" r="0" b="0"/>
          <wp:docPr id="130796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962748" name="Picture 1307962748"/>
                  <pic:cNvPicPr/>
                </pic:nvPicPr>
                <pic:blipFill>
                  <a:blip r:embed="rId1">
                    <a:extLst>
                      <a:ext uri="{28A0092B-C50C-407E-A947-70E740481C1C}">
                        <a14:useLocalDpi xmlns:a14="http://schemas.microsoft.com/office/drawing/2010/main" val="0"/>
                      </a:ext>
                    </a:extLst>
                  </a:blip>
                  <a:stretch>
                    <a:fillRect/>
                  </a:stretch>
                </pic:blipFill>
                <pic:spPr>
                  <a:xfrm>
                    <a:off x="0" y="0"/>
                    <a:ext cx="3274830" cy="312313"/>
                  </a:xfrm>
                  <a:prstGeom prst="rect">
                    <a:avLst/>
                  </a:prstGeom>
                </pic:spPr>
              </pic:pic>
            </a:graphicData>
          </a:graphic>
        </wp:inline>
      </w:drawing>
    </w:r>
  </w:p>
  <w:p w14:paraId="39CB7939" w14:textId="77777777" w:rsidR="00044940" w:rsidRDefault="000449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5C2800E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79463927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44940"/>
    <w:rsid w:val="00051754"/>
    <w:rsid w:val="002233DD"/>
    <w:rsid w:val="00477B1D"/>
    <w:rsid w:val="004E29B3"/>
    <w:rsid w:val="00590D07"/>
    <w:rsid w:val="00784D58"/>
    <w:rsid w:val="008D6863"/>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9E8DB"/>
  <w15:docId w15:val="{B5CFF5A3-A7B9-9347-AE32-158A5C17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044940"/>
    <w:pPr>
      <w:tabs>
        <w:tab w:val="center" w:pos="4680"/>
        <w:tab w:val="right" w:pos="9360"/>
      </w:tabs>
      <w:spacing w:after="0"/>
    </w:pPr>
  </w:style>
  <w:style w:type="character" w:customStyle="1" w:styleId="HeaderChar">
    <w:name w:val="Header Char"/>
    <w:basedOn w:val="DefaultParagraphFont"/>
    <w:link w:val="Header"/>
    <w:rsid w:val="00044940"/>
  </w:style>
  <w:style w:type="paragraph" w:styleId="Footer">
    <w:name w:val="footer"/>
    <w:basedOn w:val="Normal"/>
    <w:link w:val="FooterChar"/>
    <w:rsid w:val="00044940"/>
    <w:pPr>
      <w:tabs>
        <w:tab w:val="center" w:pos="4680"/>
        <w:tab w:val="right" w:pos="9360"/>
      </w:tabs>
      <w:spacing w:after="0"/>
    </w:pPr>
  </w:style>
  <w:style w:type="character" w:customStyle="1" w:styleId="FooterChar">
    <w:name w:val="Footer Char"/>
    <w:basedOn w:val="DefaultParagraphFont"/>
    <w:link w:val="Footer"/>
    <w:rsid w:val="000449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1000</Words>
  <Characters>5604</Characters>
  <Application>Microsoft Office Word</Application>
  <DocSecurity>0</DocSecurity>
  <Lines>88</Lines>
  <Paragraphs>27</Paragraphs>
  <ScaleCrop>false</ScaleCrop>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Goetz</dc:creator>
  <cp:keywords/>
  <cp:lastModifiedBy>Michael Goetz</cp:lastModifiedBy>
  <cp:revision>2</cp:revision>
  <dcterms:created xsi:type="dcterms:W3CDTF">2026-07-09T17:55:00Z</dcterms:created>
  <dcterms:modified xsi:type="dcterms:W3CDTF">2026-07-09T17:55:00Z</dcterms:modified>
</cp:coreProperties>
</file>